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724" w14:textId="0730CDCA" w:rsidR="00986D99" w:rsidRPr="000505C8" w:rsidRDefault="00986D99" w:rsidP="00986D99">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-15</w:t>
      </w:r>
      <w:r w:rsidR="000505C8" w:rsidRPr="000505C8">
        <w:rPr>
          <w:color w:val="000000" w:themeColor="text1"/>
          <w:sz w:val="20"/>
          <w:szCs w:val="20"/>
          <w:lang w:val="kk-KZ"/>
        </w:rPr>
        <w:t xml:space="preserve"> </w:t>
      </w:r>
      <w:r w:rsidR="000505C8" w:rsidRPr="000505C8">
        <w:rPr>
          <w:rFonts w:ascii="Times New Roman" w:hAnsi="Times New Roman" w:cs="Times New Roman"/>
          <w:color w:val="FF0000"/>
          <w:sz w:val="40"/>
          <w:szCs w:val="40"/>
          <w:highlight w:val="green"/>
          <w:lang w:val="kk-KZ"/>
        </w:rPr>
        <w:t>Дағдарыс менеджменті тиімділігін жетілдірудің бағыттары</w:t>
      </w:r>
    </w:p>
    <w:p w14:paraId="14BC320F" w14:textId="77777777" w:rsidR="00986D99" w:rsidRPr="000505C8" w:rsidRDefault="00986D99" w:rsidP="00986D99">
      <w:pPr>
        <w:rPr>
          <w:rFonts w:ascii="Times New Roman" w:hAnsi="Times New Roman" w:cs="Times New Roman"/>
          <w:color w:val="FF0000"/>
          <w:sz w:val="40"/>
          <w:szCs w:val="40"/>
          <w:lang w:val="kk-KZ"/>
        </w:rPr>
      </w:pPr>
    </w:p>
    <w:p w14:paraId="12D922D9" w14:textId="22DB63D7" w:rsidR="00986D99" w:rsidRPr="000505C8" w:rsidRDefault="00986D99" w:rsidP="00986D99">
      <w:pPr>
        <w:tabs>
          <w:tab w:val="left" w:pos="0"/>
        </w:tabs>
        <w:rPr>
          <w:rFonts w:ascii="Times New Roman" w:hAnsi="Times New Roman" w:cs="Times New Roman"/>
          <w:color w:val="FF0000"/>
          <w:sz w:val="40"/>
          <w:szCs w:val="40"/>
          <w:lang w:val="kk-KZ"/>
        </w:rPr>
      </w:pPr>
      <w:r w:rsidRPr="000505C8">
        <w:rPr>
          <w:rFonts w:ascii="Times New Roman" w:hAnsi="Times New Roman" w:cs="Times New Roman"/>
          <w:color w:val="FF0000"/>
          <w:sz w:val="40"/>
          <w:szCs w:val="40"/>
        </w:rPr>
        <w:tab/>
      </w:r>
      <w:r w:rsidRPr="000505C8">
        <w:rPr>
          <w:rFonts w:ascii="Times New Roman" w:hAnsi="Times New Roman" w:cs="Times New Roman"/>
          <w:color w:val="FF0000"/>
          <w:sz w:val="40"/>
          <w:szCs w:val="40"/>
          <w:highlight w:val="green"/>
          <w:lang w:val="kk-KZ"/>
        </w:rPr>
        <w:t>Сабақтың  мақсаты</w:t>
      </w:r>
      <w:r w:rsidRPr="000505C8">
        <w:rPr>
          <w:rFonts w:ascii="Times New Roman" w:hAnsi="Times New Roman" w:cs="Times New Roman"/>
          <w:color w:val="FF0000"/>
          <w:sz w:val="40"/>
          <w:szCs w:val="40"/>
          <w:lang w:val="kk-KZ"/>
        </w:rPr>
        <w:t xml:space="preserve"> – студенттерге</w:t>
      </w:r>
      <w:r w:rsidR="000505C8" w:rsidRPr="000505C8">
        <w:rPr>
          <w:rFonts w:ascii="Times New Roman" w:hAnsi="Times New Roman" w:cs="Times New Roman"/>
          <w:color w:val="FF0000"/>
          <w:sz w:val="40"/>
          <w:szCs w:val="40"/>
          <w:lang w:val="kk-KZ"/>
        </w:rPr>
        <w:t xml:space="preserve"> </w:t>
      </w:r>
      <w:r w:rsidR="000505C8">
        <w:rPr>
          <w:rFonts w:ascii="Times New Roman" w:hAnsi="Times New Roman" w:cs="Times New Roman"/>
          <w:color w:val="FF0000"/>
          <w:sz w:val="40"/>
          <w:szCs w:val="40"/>
          <w:lang w:val="kk-KZ"/>
        </w:rPr>
        <w:t>д</w:t>
      </w:r>
      <w:r w:rsidR="000505C8" w:rsidRPr="000505C8">
        <w:rPr>
          <w:rFonts w:ascii="Times New Roman" w:hAnsi="Times New Roman" w:cs="Times New Roman"/>
          <w:color w:val="FF0000"/>
          <w:sz w:val="40"/>
          <w:szCs w:val="40"/>
          <w:lang w:val="kk-KZ"/>
        </w:rPr>
        <w:t>ағдарыс менеджменті тиімділігін жетілдірудің бағыттары</w:t>
      </w:r>
    </w:p>
    <w:p w14:paraId="2F1A978E" w14:textId="77777777" w:rsidR="00986D99" w:rsidRPr="000505C8" w:rsidRDefault="00986D99" w:rsidP="00986D99">
      <w:pPr>
        <w:tabs>
          <w:tab w:val="left" w:pos="0"/>
        </w:tabs>
        <w:rPr>
          <w:rFonts w:ascii="Times New Roman" w:hAnsi="Times New Roman" w:cs="Times New Roman"/>
          <w:color w:val="FF0000"/>
          <w:sz w:val="40"/>
          <w:szCs w:val="40"/>
          <w:lang w:val="kk-KZ"/>
        </w:rPr>
      </w:pPr>
      <w:r w:rsidRPr="000505C8">
        <w:rPr>
          <w:rFonts w:ascii="Times New Roman" w:hAnsi="Times New Roman" w:cs="Times New Roman"/>
          <w:color w:val="FF0000"/>
          <w:sz w:val="40"/>
          <w:szCs w:val="40"/>
          <w:lang w:val="kk-KZ"/>
        </w:rPr>
        <w:t xml:space="preserve"> жан-жақты кешенді түсіндіру</w:t>
      </w:r>
    </w:p>
    <w:p w14:paraId="2A34E952" w14:textId="77777777" w:rsidR="00986D99" w:rsidRPr="000505C8" w:rsidRDefault="00986D99" w:rsidP="00986D99">
      <w:pPr>
        <w:tabs>
          <w:tab w:val="left" w:pos="1380"/>
        </w:tabs>
        <w:rPr>
          <w:rFonts w:ascii="Times New Roman" w:hAnsi="Times New Roman" w:cs="Times New Roman"/>
          <w:color w:val="FF0000"/>
          <w:sz w:val="40"/>
          <w:szCs w:val="40"/>
          <w:lang w:val="kk-KZ"/>
        </w:rPr>
      </w:pPr>
      <w:r w:rsidRPr="000505C8">
        <w:rPr>
          <w:rFonts w:ascii="Times New Roman" w:hAnsi="Times New Roman" w:cs="Times New Roman"/>
          <w:color w:val="FF0000"/>
          <w:sz w:val="40"/>
          <w:szCs w:val="40"/>
          <w:lang w:val="kk-KZ"/>
        </w:rPr>
        <w:t>Сұрақтар:</w:t>
      </w:r>
    </w:p>
    <w:p w14:paraId="4FA20A70" w14:textId="6C82FEDF" w:rsidR="000505C8" w:rsidRPr="000505C8" w:rsidRDefault="00986D99" w:rsidP="00986D99">
      <w:pPr>
        <w:rPr>
          <w:rFonts w:ascii="Times New Roman" w:hAnsi="Times New Roman" w:cs="Times New Roman"/>
          <w:color w:val="FF0000"/>
          <w:sz w:val="40"/>
          <w:szCs w:val="40"/>
          <w:lang w:val="kk-KZ"/>
        </w:rPr>
      </w:pPr>
      <w:r w:rsidRPr="000505C8">
        <w:rPr>
          <w:rFonts w:ascii="Times New Roman" w:hAnsi="Times New Roman" w:cs="Times New Roman"/>
          <w:color w:val="FF0000"/>
          <w:sz w:val="40"/>
          <w:szCs w:val="40"/>
          <w:lang w:val="kk-KZ"/>
        </w:rPr>
        <w:t>1.</w:t>
      </w:r>
      <w:r w:rsidR="000505C8" w:rsidRPr="000505C8">
        <w:rPr>
          <w:rFonts w:ascii="Times New Roman" w:hAnsi="Times New Roman" w:cs="Times New Roman"/>
          <w:color w:val="FF0000"/>
          <w:sz w:val="40"/>
          <w:szCs w:val="40"/>
          <w:lang w:val="kk-KZ"/>
        </w:rPr>
        <w:t xml:space="preserve"> Дағдарыс менеджменті тиімділі</w:t>
      </w:r>
      <w:r w:rsidR="000505C8">
        <w:rPr>
          <w:rFonts w:ascii="Times New Roman" w:hAnsi="Times New Roman" w:cs="Times New Roman"/>
          <w:color w:val="FF0000"/>
          <w:sz w:val="40"/>
          <w:szCs w:val="40"/>
          <w:lang w:val="kk-KZ"/>
        </w:rPr>
        <w:t>гінің индикаторлары</w:t>
      </w:r>
    </w:p>
    <w:p w14:paraId="35FABD56" w14:textId="28FBE06E" w:rsidR="00986D99" w:rsidRPr="000505C8" w:rsidRDefault="00986D99" w:rsidP="00986D99">
      <w:pPr>
        <w:rPr>
          <w:rFonts w:ascii="Times New Roman" w:hAnsi="Times New Roman" w:cs="Times New Roman"/>
          <w:color w:val="FF0000"/>
          <w:sz w:val="40"/>
          <w:szCs w:val="40"/>
          <w:lang w:val="kk-KZ"/>
        </w:rPr>
      </w:pPr>
      <w:r w:rsidRPr="000505C8">
        <w:rPr>
          <w:rFonts w:ascii="Times New Roman" w:hAnsi="Times New Roman" w:cs="Times New Roman"/>
          <w:color w:val="FF0000"/>
          <w:sz w:val="40"/>
          <w:szCs w:val="40"/>
          <w:lang w:val="kk-KZ"/>
        </w:rPr>
        <w:t>2.</w:t>
      </w:r>
      <w:r w:rsidR="000505C8" w:rsidRPr="000505C8">
        <w:rPr>
          <w:rFonts w:ascii="Times New Roman" w:hAnsi="Times New Roman" w:cs="Times New Roman"/>
          <w:color w:val="FF0000"/>
          <w:sz w:val="40"/>
          <w:szCs w:val="40"/>
          <w:lang w:val="kk-KZ"/>
        </w:rPr>
        <w:t xml:space="preserve">  Дағдарыс менеджменті тиімділі</w:t>
      </w:r>
      <w:r w:rsidR="000505C8">
        <w:rPr>
          <w:rFonts w:ascii="Times New Roman" w:hAnsi="Times New Roman" w:cs="Times New Roman"/>
          <w:color w:val="FF0000"/>
          <w:sz w:val="40"/>
          <w:szCs w:val="40"/>
          <w:lang w:val="kk-KZ"/>
        </w:rPr>
        <w:t>гінің бағыттары</w:t>
      </w:r>
    </w:p>
    <w:p w14:paraId="5483C12A" w14:textId="4F2F0481" w:rsidR="00380FDB" w:rsidRPr="000505C8" w:rsidRDefault="00380FDB">
      <w:pPr>
        <w:rPr>
          <w:lang w:val="kk-KZ"/>
        </w:rPr>
      </w:pPr>
    </w:p>
    <w:p w14:paraId="78385AD4"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Мәселені басқарудың келесі негізгі сипаттамаларын бөліп көрсетуге болады:</w:t>
      </w:r>
    </w:p>
    <w:p w14:paraId="250176FF"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 туындау сатысында тұрған проблемалардың алдын алу. Әдетте, проблемаларды басқару ұйымды жеткілікті ұзақ уақыт кезеңінде (18 айдан 3 жылға дейін) толығымен қарсы алатын мәселелермен айналысады. Сондықтан проблеманы басқару процесін дағдарыстан кейінгі жоспарлау немесе дағдарысты басқару деп атауға болмайды. Бұл дағдарысқа дейінгі басқару;</w:t>
      </w:r>
    </w:p>
    <w:p w14:paraId="443EDCF1"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 xml:space="preserve">- есептерді таңдап анықтау. Ұйымға қолжетімді ресурстар шектеулі және ол бір уақытта шектелген мәселелер санын ғана шеше алады. Сондықтан проблемаларды басқару шеңберінде </w:t>
      </w:r>
      <w:r w:rsidRPr="007C48D2">
        <w:rPr>
          <w:rFonts w:ascii="inherit" w:eastAsia="Times New Roman" w:hAnsi="inherit" w:cs="Courier New"/>
          <w:color w:val="202124"/>
          <w:sz w:val="42"/>
          <w:szCs w:val="42"/>
          <w:lang w:val="kk-KZ" w:eastAsia="ru-RU"/>
        </w:rPr>
        <w:lastRenderedPageBreak/>
        <w:t>компания кейіннен олармен айналысатын басым мәселелер таңдалады. Олардың саны әдетте 5-10 құрайды. Практика ұйымның ең маңызды мәселелеріне шоғырланудың шынайы екендігіне сендіреді;</w:t>
      </w:r>
    </w:p>
    <w:p w14:paraId="3AAEEE41"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 ашу мүмкіндіктерін пайдалану және осалдықтарды қорғау. Пайда болған мәселелердің көпшілігі бизнестегі жаңа постулаттарды ашуға көмектесіп қана қоймайды, сонымен қатар ұйымның ең жасырын және осал жақтарын ашады. Мұнда көз олардың пайда болуын уақытында тануға үйреніп қана қоймайды, сонымен қатар пайда болған қорларды тиімді пайдалануды;</w:t>
      </w:r>
    </w:p>
    <w:p w14:paraId="63F7123F"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сыртқы факторлардың әсерінен түзетілген жоспарлау. Проблемаларды басқару жұмысының басым бағыттарын таңдау, ең алдымен, ішкі факторларға емес, сыртқы факторларға байланысты. Бұл стратегиялық жоспарлауда қабылданған тәсілден ерекшеленеді, оған сәйкес стратегиялық даму процесі көбінесе компанияның ішкі мақсаттары мен міндеттерімен анықталады. Мәселені басқару негізінен сыртқы факторларға сүйенеді;</w:t>
      </w:r>
    </w:p>
    <w:p w14:paraId="1883E48A"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 xml:space="preserve">пайдаға назар аудару. Мәселені басқару, әрине, дағдарыстардың алдын алуға қызмет етеді, </w:t>
      </w:r>
      <w:r w:rsidRPr="007C48D2">
        <w:rPr>
          <w:rFonts w:ascii="inherit" w:eastAsia="Times New Roman" w:hAnsi="inherit" w:cs="Courier New"/>
          <w:color w:val="202124"/>
          <w:sz w:val="42"/>
          <w:szCs w:val="42"/>
          <w:lang w:val="kk-KZ" w:eastAsia="ru-RU"/>
        </w:rPr>
        <w:lastRenderedPageBreak/>
        <w:t>бірақ оның нақты мақсаты да ұйымды жағымсыз сыртқы факторлардың әсерінен қорғау, сонымен қатар жаңадан пайда болған мүмкіндіктерді пайдалана отырып, кәсіпорынның жұмысын жүйелі түрде жақсарту, оның табыстылығы мен өтімділігін арттыру;</w:t>
      </w:r>
    </w:p>
    <w:p w14:paraId="16E339F5" w14:textId="77777777" w:rsidR="007C48D2" w:rsidRPr="007C48D2" w:rsidRDefault="007C48D2" w:rsidP="007C4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sidRPr="007C48D2">
        <w:rPr>
          <w:rFonts w:ascii="inherit" w:eastAsia="Times New Roman" w:hAnsi="inherit" w:cs="Courier New"/>
          <w:color w:val="202124"/>
          <w:sz w:val="42"/>
          <w:szCs w:val="42"/>
          <w:lang w:val="kk-KZ" w:eastAsia="ru-RU"/>
        </w:rPr>
        <w:t>іс-шаралар жоспары. Проблемаларды басқару процесі туындайтын проблемаларды анықтауға, оларды жүйелеуге, маңыздылығы бойынша разрядтауға ғана емес, сонымен қатар осы мәселелерді шешу үшін тиісті саясатты, бағдарламаны және конструктивті жұмыс жоспарын қамтамасыз етуі керек, бұл мәселенің жұмыс істеуінің қажетті нәтижесі болып табылады. басқару;</w:t>
      </w:r>
    </w:p>
    <w:p w14:paraId="59CCA46D" w14:textId="26332BD8" w:rsidR="00D037FD" w:rsidRPr="000505C8" w:rsidRDefault="007C48D2" w:rsidP="007C48D2">
      <w:pPr>
        <w:rPr>
          <w:lang w:val="kk-KZ"/>
        </w:rPr>
      </w:pPr>
      <w:r w:rsidRPr="007C48D2">
        <w:rPr>
          <w:rFonts w:ascii="inherit" w:eastAsia="Times New Roman" w:hAnsi="inherit" w:cs="Courier New"/>
          <w:color w:val="202124"/>
          <w:sz w:val="42"/>
          <w:szCs w:val="42"/>
          <w:lang w:val="kk-KZ" w:eastAsia="ru-RU"/>
        </w:rPr>
        <w:t>- жұмыс жоғарыдан басталады. Компанияның топ-менеджментінің қолдауы мен сенімінсіз проблемалық менеджерлер тиімді әрекет етіп, жоғары нәтиже көрсете алмайды. Сырттан жан-жақты көмек тек топ-менеджердің, компанияның бас менеджерінің, оның топ-менеджерлерінің қолдауымен жүзеге асырылады; компаниядағы проблемаларды</w:t>
      </w:r>
    </w:p>
    <w:p w14:paraId="3C3EB3B0" w14:textId="4C803DC7" w:rsidR="00D037FD" w:rsidRPr="000505C8" w:rsidRDefault="00D037FD" w:rsidP="00D037FD">
      <w:pPr>
        <w:rPr>
          <w:lang w:val="kk-KZ"/>
        </w:rPr>
      </w:pPr>
    </w:p>
    <w:p w14:paraId="6ECEE923" w14:textId="12D2C87F" w:rsidR="00D037FD" w:rsidRPr="000505C8" w:rsidRDefault="00D037FD" w:rsidP="00D037FD">
      <w:pPr>
        <w:rPr>
          <w:lang w:val="kk-KZ"/>
        </w:rPr>
      </w:pPr>
    </w:p>
    <w:p w14:paraId="12226979" w14:textId="77777777" w:rsidR="00D037FD" w:rsidRDefault="00D037FD" w:rsidP="00D037FD">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4D35096B" w14:textId="77777777" w:rsidR="00D037FD" w:rsidRDefault="00D037FD" w:rsidP="00D037FD">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D037FD">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06B72C22"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3C24DB29"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6CF88052"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45FAE1F"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35A79721" w14:textId="77777777" w:rsidR="00D037FD" w:rsidRDefault="00D037FD" w:rsidP="00D037F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95DABD8" w14:textId="77777777" w:rsidR="00D037FD" w:rsidRDefault="00D037FD" w:rsidP="00D037F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9967C06" w14:textId="77777777" w:rsidR="00D037FD" w:rsidRDefault="00D037FD" w:rsidP="00D037F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3D20C414" w14:textId="77777777" w:rsidR="00D037FD" w:rsidRDefault="00D037FD" w:rsidP="00D037F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2D0EFB33" w14:textId="77777777" w:rsidR="00D037FD" w:rsidRDefault="00D037FD" w:rsidP="00D037F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32C79564" w14:textId="77777777" w:rsidR="00D037FD" w:rsidRDefault="00D037FD" w:rsidP="00D037F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2DBAEA35" w14:textId="77777777" w:rsidR="00D037FD" w:rsidRDefault="00D037FD" w:rsidP="00D037F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76B7B4AA" w14:textId="77777777" w:rsidR="00D037FD" w:rsidRDefault="00D037FD" w:rsidP="00D037FD">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009ACD8E" w14:textId="77777777" w:rsidR="00D037FD" w:rsidRDefault="00D037FD" w:rsidP="00D037FD">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4DCC745C"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3798DAF8"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7E153076"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0DF10CF1" w14:textId="77777777" w:rsidR="00D037FD" w:rsidRDefault="00D037FD" w:rsidP="00D037FD">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738A2694"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15F70257"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40217FC6" w14:textId="77777777" w:rsidR="00D037FD" w:rsidRDefault="00D037FD" w:rsidP="00D037FD">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602FA34C"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1E9888AE" w14:textId="77777777" w:rsidR="00D037FD" w:rsidRDefault="00D037FD" w:rsidP="00D037FD">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5CC04E88"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589190A5" w14:textId="77777777" w:rsidR="00D037FD" w:rsidRDefault="00D037FD" w:rsidP="00D037FD">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366F097" w14:textId="77777777" w:rsidR="00D037FD" w:rsidRDefault="00D037FD" w:rsidP="00D037F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7F28CB36"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5B08C835"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7AF5812D" w14:textId="77777777" w:rsidR="00D037FD" w:rsidRDefault="00D037FD" w:rsidP="00D037F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7699914" w14:textId="77777777" w:rsidR="00D037FD" w:rsidRPr="00D037FD" w:rsidRDefault="00D037FD" w:rsidP="00D037FD">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6922664F" w14:textId="77777777" w:rsidR="00D037FD" w:rsidRPr="00986D99" w:rsidRDefault="00D037FD" w:rsidP="00D037FD">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lastRenderedPageBreak/>
        <w:t>3.Уилтон, Ник. HR-менеджментке кіріспе = An Introduction to Human Resource Management - Алматы: "Ұлттық аударма бюросы" ҚҚ, 2019. — 531 б.</w:t>
      </w:r>
    </w:p>
    <w:p w14:paraId="67BBE0EE" w14:textId="77777777" w:rsidR="00D037FD" w:rsidRDefault="00D037FD" w:rsidP="00D037F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2DB0EA72" w14:textId="77777777" w:rsidR="00D037FD" w:rsidRDefault="00D037FD" w:rsidP="00D037F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771EE509" w14:textId="77777777" w:rsidR="00D037FD" w:rsidRPr="00D037FD" w:rsidRDefault="00D037FD" w:rsidP="00D037FD">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7745915D" w14:textId="77777777" w:rsidR="00D037FD" w:rsidRDefault="00D037FD" w:rsidP="00D037F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2E689CE" w14:textId="77777777" w:rsidR="00D037FD" w:rsidRDefault="00D037FD" w:rsidP="00D037F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14188C4" w14:textId="77777777" w:rsidR="00D037FD" w:rsidRDefault="00D037FD" w:rsidP="00D037FD">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6A289461" w14:textId="77777777" w:rsidR="00D037FD" w:rsidRDefault="00D037FD" w:rsidP="00D037F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31D12A86" w14:textId="77777777" w:rsidR="00D037FD" w:rsidRPr="00D037FD" w:rsidRDefault="00D037FD" w:rsidP="00D037FD">
      <w:pPr>
        <w:spacing w:after="0" w:line="240" w:lineRule="auto"/>
        <w:rPr>
          <w:rFonts w:ascii="Times New Roman" w:eastAsia="Times New Roman" w:hAnsi="Times New Roman" w:cs="Times New Roman"/>
          <w:color w:val="000000" w:themeColor="text1"/>
          <w:kern w:val="36"/>
          <w:lang w:val="kk-KZ"/>
        </w:rPr>
      </w:pPr>
    </w:p>
    <w:p w14:paraId="405935FD" w14:textId="77777777" w:rsidR="00D037FD" w:rsidRDefault="00D037FD" w:rsidP="00D037F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979068C" w14:textId="77777777" w:rsidR="00D037FD" w:rsidRDefault="00D037FD" w:rsidP="00D037F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72FD0851" w14:textId="77777777" w:rsidR="00D037FD" w:rsidRDefault="00D037FD" w:rsidP="00D037F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7034F4FF" w14:textId="77777777" w:rsidR="00D037FD" w:rsidRDefault="00D037FD" w:rsidP="00D037FD">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3B626F74" w14:textId="77777777" w:rsidR="00D037FD" w:rsidRPr="00D037FD" w:rsidRDefault="00D037FD" w:rsidP="00D037FD">
      <w:pPr>
        <w:rPr>
          <w:lang w:val="kk-KZ"/>
        </w:rPr>
      </w:pPr>
    </w:p>
    <w:sectPr w:rsidR="00D037FD" w:rsidRPr="00D03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972250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79734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B0"/>
    <w:rsid w:val="000505C8"/>
    <w:rsid w:val="00380FDB"/>
    <w:rsid w:val="007C48D2"/>
    <w:rsid w:val="00956BB0"/>
    <w:rsid w:val="00986D99"/>
    <w:rsid w:val="00D0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DBBC"/>
  <w15:chartTrackingRefBased/>
  <w15:docId w15:val="{8B1F7D03-F128-4542-9094-BA85E6DE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7FD"/>
    <w:pPr>
      <w:spacing w:line="256" w:lineRule="auto"/>
    </w:pPr>
    <w:rPr>
      <w:sz w:val="21"/>
      <w:szCs w:val="21"/>
    </w:rPr>
  </w:style>
  <w:style w:type="paragraph" w:styleId="2">
    <w:name w:val="heading 2"/>
    <w:basedOn w:val="a"/>
    <w:next w:val="a"/>
    <w:link w:val="20"/>
    <w:uiPriority w:val="9"/>
    <w:semiHidden/>
    <w:unhideWhenUsed/>
    <w:qFormat/>
    <w:rsid w:val="00D03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37FD"/>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D037FD"/>
  </w:style>
  <w:style w:type="paragraph" w:styleId="a4">
    <w:name w:val="List Paragraph"/>
    <w:aliases w:val="без абзаца,маркированный,ПАРАГРАФ,List Paragraph"/>
    <w:basedOn w:val="a"/>
    <w:link w:val="a3"/>
    <w:uiPriority w:val="34"/>
    <w:qFormat/>
    <w:rsid w:val="00D037FD"/>
    <w:pPr>
      <w:spacing w:line="254" w:lineRule="auto"/>
      <w:ind w:left="720"/>
      <w:contextualSpacing/>
    </w:pPr>
    <w:rPr>
      <w:sz w:val="22"/>
      <w:szCs w:val="22"/>
    </w:rPr>
  </w:style>
  <w:style w:type="character" w:customStyle="1" w:styleId="s1">
    <w:name w:val="s1"/>
    <w:basedOn w:val="a0"/>
    <w:rsid w:val="00D037FD"/>
  </w:style>
  <w:style w:type="character" w:styleId="a5">
    <w:name w:val="Strong"/>
    <w:basedOn w:val="a0"/>
    <w:uiPriority w:val="22"/>
    <w:qFormat/>
    <w:rsid w:val="00D03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0303">
      <w:bodyDiv w:val="1"/>
      <w:marLeft w:val="0"/>
      <w:marRight w:val="0"/>
      <w:marTop w:val="0"/>
      <w:marBottom w:val="0"/>
      <w:divBdr>
        <w:top w:val="none" w:sz="0" w:space="0" w:color="auto"/>
        <w:left w:val="none" w:sz="0" w:space="0" w:color="auto"/>
        <w:bottom w:val="none" w:sz="0" w:space="0" w:color="auto"/>
        <w:right w:val="none" w:sz="0" w:space="0" w:color="auto"/>
      </w:divBdr>
    </w:div>
    <w:div w:id="17037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2022-12-17T02:48:00Z</dcterms:created>
  <dcterms:modified xsi:type="dcterms:W3CDTF">2023-01-13T08:50:00Z</dcterms:modified>
</cp:coreProperties>
</file>